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Type="http://schemas.openxmlformats.org/package/2006/relationships/metadata/core-properties" Id="rId2" Target="docProps/core.xml"/><Relationship Type="http://schemas.openxmlformats.org/officeDocument/2006/relationships/extended-properties" Id="rId1" Target="docProps/app.xml"/><Relationship Type="http://schemas.openxmlformats.org/officeDocument/2006/relationships/officeDocument" Id="rId3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pStyle w:val="Heading1"/>
        <w:spacing w:line="240" w:lineRule="auto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distL="0" locked="0" hidden="0" simplePos="0" distB="0" layoutInCell="0" allowOverlap="0" distT="0" relativeHeight="0" behindDoc="0" distR="0">
            <wp:simplePos y="0" x="0"/>
            <wp:positionH relativeFrom="margin">
              <wp:posOffset>28575</wp:posOffset>
            </wp:positionH>
            <wp:positionV relativeFrom="paragraph">
              <wp:posOffset>428625</wp:posOffset>
            </wp:positionV>
            <wp:extent cy="2419350" cx="6143625"/>
            <wp:wrapSquare wrapText="bothSides"/>
            <wp:docPr name="image01.png" id="1"/>
            <a:graphic>
              <a:graphicData uri="http://schemas.openxmlformats.org/drawingml/2006/picture">
                <pic:pic>
                  <pic:nvPicPr>
                    <pic:cNvPr name="image01.png" id="0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2419350" cx="6143625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Lighting 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(3) 1k Par 64 Lamps. $35/lamp x 3 = $105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(3) 1k Par 64 Bulbs. $29.95/bulb x 3 = $89.95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(2) 500w Par 56 Lamps. $24.99/lamp x 2 = $49.98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(2) 500w Par 56 Bulbs. $29.95/bulb x 2 = $59.90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(1) </w:t>
      </w:r>
      <w:hyperlink r:id="rId6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250w Pro Light</w:t>
        </w:r>
      </w:hyperlink>
      <w:r w:rsidDel="00000000" w:rsidRPr="00000000" w:rsidR="00000000">
        <w:rPr>
          <w:highlight w:val="none"/>
          <w:rtl w:val="0"/>
        </w:rPr>
        <w:t xml:space="preserve"> = $224.88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(2) ceiling fluorescent. $20.77 x 2 =$41.54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(1) </w:t>
      </w:r>
      <w:hyperlink r:id="rId7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6,500k Led Studio Light</w:t>
        </w:r>
      </w:hyperlink>
      <w:r w:rsidDel="00000000" w:rsidRPr="00000000" w:rsidR="00000000">
        <w:rPr>
          <w:highlight w:val="none"/>
          <w:rtl w:val="0"/>
        </w:rPr>
        <w:t xml:space="preserve"> = $299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8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(1) 550w 3 point flow light kit</w:t>
        </w:r>
      </w:hyperlink>
      <w:r w:rsidDel="00000000" w:rsidRPr="00000000" w:rsidR="00000000">
        <w:rPr>
          <w:highlight w:val="none"/>
          <w:rtl w:val="0"/>
        </w:rPr>
        <w:t xml:space="preserve"> =  $1,299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Gels CTO = $2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         CTB = $2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         Diffusion = $18.90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    Neutral Density = $5.89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Total Cost for Lighting = </w:t>
      </w:r>
      <w:r w:rsidDel="00000000" w:rsidRPr="00000000" w:rsidR="00000000">
        <w:rPr>
          <w:highlight w:val="none"/>
          <w:rtl w:val="0"/>
        </w:rPr>
        <w:t xml:space="preserve">$2,198.23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Camera Rigs</w:t>
      </w:r>
    </w:p>
    <w:p w:rsidP="00000000" w:rsidRDefault="00000000" w:rsidDel="00000000" w:rsidRPr="00000000" w:rsidR="00000000">
      <w:pPr/>
      <w:hyperlink r:id="rId9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Manfrotto 504 HD tripod</w:t>
        </w:r>
      </w:hyperlink>
      <w:r w:rsidDel="00000000" w:rsidRPr="00000000" w:rsidR="00000000">
        <w:rPr>
          <w:highlight w:val="none"/>
          <w:rtl w:val="0"/>
        </w:rPr>
        <w:t xml:space="preserve"> = $1,035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0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Kesslar Kflex dolly</w:t>
        </w:r>
      </w:hyperlink>
      <w:r w:rsidDel="00000000" w:rsidRPr="00000000" w:rsidR="00000000">
        <w:rPr>
          <w:highlight w:val="none"/>
          <w:rtl w:val="0"/>
        </w:rPr>
        <w:t xml:space="preserve"> =  $1,565.95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1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Kesslar Cineslider </w:t>
        </w:r>
      </w:hyperlink>
      <w:r w:rsidDel="00000000" w:rsidRPr="00000000" w:rsidR="00000000">
        <w:rPr>
          <w:highlight w:val="none"/>
          <w:rtl w:val="0"/>
        </w:rPr>
        <w:t xml:space="preserve">= $1,699.95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2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Kesslar Pocket Dolly </w:t>
        </w:r>
      </w:hyperlink>
      <w:r w:rsidDel="00000000" w:rsidRPr="00000000" w:rsidR="00000000">
        <w:rPr>
          <w:highlight w:val="none"/>
          <w:rtl w:val="0"/>
        </w:rPr>
        <w:t xml:space="preserve">= $1,095.95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3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Kesslar Pocket Jib</w:t>
        </w:r>
      </w:hyperlink>
      <w:r w:rsidDel="00000000" w:rsidRPr="00000000" w:rsidR="00000000">
        <w:rPr>
          <w:highlight w:val="none"/>
          <w:rtl w:val="0"/>
        </w:rPr>
        <w:t xml:space="preserve"> = $1,199.95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4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Kc lite 8.0</w:t>
        </w:r>
      </w:hyperlink>
      <w:r w:rsidDel="00000000" w:rsidRPr="00000000" w:rsidR="00000000">
        <w:rPr>
          <w:highlight w:val="none"/>
          <w:rtl w:val="0"/>
        </w:rPr>
        <w:t xml:space="preserve"> = $399.95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5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ElektraDRIVE bundle with Oracle Controller</w:t>
        </w:r>
      </w:hyperlink>
      <w:r w:rsidDel="00000000" w:rsidRPr="00000000" w:rsidR="00000000">
        <w:rPr>
          <w:highlight w:val="none"/>
          <w:rtl w:val="0"/>
        </w:rPr>
        <w:t xml:space="preserve"> = $1,315.95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Total Cost for Rigging</w:t>
      </w:r>
      <w:r w:rsidDel="00000000" w:rsidRPr="00000000" w:rsidR="00000000">
        <w:rPr>
          <w:highlight w:val="none"/>
          <w:rtl w:val="0"/>
        </w:rPr>
        <w:t xml:space="preserve"> = $8,312.70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Cameras/Lenses/HardDrives</w:t>
      </w:r>
    </w:p>
    <w:p w:rsidP="00000000" w:rsidRDefault="00000000" w:rsidDel="00000000" w:rsidRPr="00000000" w:rsidR="00000000">
      <w:pPr/>
      <w:hyperlink r:id="rId16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BlackMagic Cinemacamera </w:t>
        </w:r>
      </w:hyperlink>
      <w:r w:rsidDel="00000000" w:rsidRPr="00000000" w:rsidR="00000000">
        <w:rPr>
          <w:highlight w:val="none"/>
          <w:rtl w:val="0"/>
        </w:rPr>
        <w:t xml:space="preserve">= $2,995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7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Samsung 1TB 830 Series SSD (storage space)</w:t>
        </w:r>
      </w:hyperlink>
      <w:r w:rsidDel="00000000" w:rsidRPr="00000000" w:rsidR="00000000">
        <w:rPr>
          <w:highlight w:val="none"/>
          <w:rtl w:val="0"/>
        </w:rPr>
        <w:t xml:space="preserve"> = $1,058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Lenses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Canon Ef 17-55 =$1,059</w:t>
      </w: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tokina 11-16 2.8 = $739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Canon 70-200 2.8 = $1,199.99</w:t>
      </w: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Prime Canon 15mm 1.4 = $609.99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Prime Canon 20mm = $489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Total Cost For Cameras/Lenses =</w:t>
      </w:r>
      <w:r w:rsidDel="00000000" w:rsidRPr="00000000" w:rsidR="00000000">
        <w:rPr>
          <w:highlight w:val="none"/>
          <w:rtl w:val="0"/>
        </w:rPr>
        <w:t xml:space="preserve"> $8,149.98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Microphones</w:t>
      </w:r>
    </w:p>
    <w:p w:rsidP="00000000" w:rsidRDefault="00000000" w:rsidDel="00000000" w:rsidRPr="00000000" w:rsidR="00000000">
      <w:pPr/>
      <w:hyperlink r:id="rId18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Rode Ntg 3 Pro ShotGun Mic Kit</w:t>
        </w:r>
      </w:hyperlink>
      <w:r w:rsidDel="00000000" w:rsidRPr="00000000" w:rsidR="00000000">
        <w:rPr>
          <w:highlight w:val="none"/>
          <w:rtl w:val="0"/>
        </w:rPr>
        <w:t xml:space="preserve"> =  $1,277.95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hyperlink r:id="rId19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Sennheiser Ew112 Wireless Lav</w:t>
        </w:r>
      </w:hyperlink>
      <w:r w:rsidDel="00000000" w:rsidRPr="00000000" w:rsidR="00000000">
        <w:rPr>
          <w:highlight w:val="none"/>
          <w:rtl w:val="0"/>
        </w:rPr>
        <w:t xml:space="preserve"> = $629.95 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Total Costs for Microphones = </w:t>
      </w:r>
      <w:r w:rsidDel="00000000" w:rsidRPr="00000000" w:rsidR="00000000">
        <w:rPr>
          <w:highlight w:val="none"/>
          <w:rtl w:val="0"/>
        </w:rPr>
        <w:t xml:space="preserve">$1907.90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Studio Space</w:t>
      </w:r>
    </w:p>
    <w:p w:rsidP="00000000" w:rsidRDefault="00000000" w:rsidDel="00000000" w:rsidRPr="00000000" w:rsidR="00000000">
      <w:pPr/>
      <w:hyperlink r:id="rId20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2,500sq ft space for more involved shoots</w:t>
        </w:r>
      </w:hyperlink>
      <w:r w:rsidDel="00000000" w:rsidRPr="00000000" w:rsidR="00000000">
        <w:rPr>
          <w:highlight w:val="none"/>
          <w:rtl w:val="0"/>
        </w:rPr>
        <w:t xml:space="preserve"> = $1,250/mo or $15,000/year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u w:val="single"/>
          <w:rtl w:val="0"/>
        </w:rPr>
        <w:t xml:space="preserve">Misc</w:t>
      </w:r>
      <w:r w:rsidDel="00000000" w:rsidRPr="00000000" w:rsidR="00000000">
        <w:rPr>
          <w:highlight w:val="none"/>
          <w:rtl w:val="0"/>
        </w:rPr>
        <w:t xml:space="preserve"> </w:t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Portable Monitor for Camera = $384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Website Redesign = $4,000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Motion Graphics Broadcast Package = $4,000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Editor(s) = $20,000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Animator = $10,000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Vocus Marketing Software = $10,000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Computer = $4,000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Rewards Budget (tablets, ipods, SaaS subscriptions for members) = $5,000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b w:val="1"/>
          <w:highlight w:val="none"/>
          <w:rtl w:val="0"/>
        </w:rPr>
        <w:t xml:space="preserve">Total Cost of Misc</w:t>
      </w:r>
      <w:r w:rsidDel="00000000" w:rsidRPr="00000000" w:rsidR="00000000">
        <w:rPr>
          <w:highlight w:val="none"/>
          <w:rtl w:val="0"/>
        </w:rPr>
        <w:t xml:space="preserve"> = $57,384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rtl w:val="0"/>
        </w:rPr>
        <w:t xml:space="preserve">Total Cost of Production = $92,952.81 </w:t>
      </w:r>
    </w:p>
    <w:p w:rsidP="00000000" w:rsidRDefault="00000000" w:rsidDel="00000000" w:rsidRPr="00000000" w:rsidR="00000000">
      <w:pPr>
        <w:pStyle w:val="Heading1"/>
      </w:pPr>
      <w:r w:rsidDel="00000000" w:rsidRPr="00000000" w:rsidR="00000000">
        <w:rPr>
          <w:highlight w:val="none"/>
          <w:rtl w:val="0"/>
        </w:rPr>
        <w:t xml:space="preserve">+ 7% Indiegogo fees = $99,955.81</w:t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(the remaining $44.19 will add to the bacon fund)</w:t>
      </w:r>
      <w:r w:rsidDel="00000000" w:rsidRPr="00000000" w:rsidR="00000000">
        <w:drawing>
          <wp:inline>
            <wp:extent cy="4219575" cx="6315075"/>
            <wp:docPr name="image00.png" id="2"/>
            <a:graphic>
              <a:graphicData uri="http://schemas.openxmlformats.org/drawingml/2006/picture">
                <pic:pic>
                  <pic:nvPicPr>
                    <pic:cNvPr name="image00.png" id="0"/>
                    <pic:cNvPicPr preferRelativeResize="0"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ext cy="4219575" cx="6315075"/>
                    </a:xfrm>
                    <a:prstGeom prst="rect"/>
                  </pic:spPr>
                </pic:pic>
              </a:graphicData>
            </a:graphic>
          </wp:inline>
        </w:drawing>
      </w:r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t xml:space="preserve">To see the kind of standard that we’re trying to bring the show to. Check out </w:t>
      </w:r>
      <w:hyperlink r:id="rId22">
        <w:r w:rsidDel="00000000" w:rsidRPr="00000000" w:rsidR="00000000">
          <w:rPr>
            <w:color w:val="1155cc"/>
            <w:highlight w:val="none"/>
            <w:u w:val="single"/>
            <w:rtl w:val="0"/>
          </w:rPr>
          <w:t xml:space="preserve">http://youtube.com/filmriot</w:t>
        </w:r>
      </w:hyperlink>
      <w:r w:rsidDel="00000000" w:rsidRPr="00000000" w:rsidR="00000000">
        <w:rPr>
          <w:rtl w:val="0"/>
        </w:rPr>
      </w:r>
    </w:p>
    <w:p w:rsidP="00000000" w:rsidRDefault="00000000" w:rsidDel="00000000" w:rsidRPr="00000000" w:rsidR="00000000">
      <w:pPr/>
      <w:r w:rsidDel="00000000" w:rsidRPr="00000000" w:rsidR="00000000">
        <w:rPr>
          <w:highlight w:val="none"/>
          <w:rtl w:val="0"/>
        </w:rPr>
        <w:br w:type="textWrapping"/>
        <w:t xml:space="preserve">It might not look like much, but the subtle differences in the production make a huge difference on the overall viewing experience. </w:t>
      </w:r>
    </w:p>
    <w:sectPr>
      <w:headerReference w:type="default" r:id="rId23"/>
      <w:pgSz w:h="15840" w:w="12240"/>
      <w:pgMar w:top="1440" w:right="1440" w:left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Del="00000000" w:rsidRDefault="00000000" w:rsidR="00000000" w:rsidRPr="00000000" w:rsidP="00000000">
    <w:pPr>
      <w:pStyle w:val="Heading1"/>
      <w:jc w:val="center"/>
    </w:pPr>
    <w:r w:rsidDel="00000000" w:rsidR="00000000" w:rsidRPr="00000000">
      <w:rPr>
        <w:highlight w:val="none"/>
        <w:rtl w:val="0"/>
      </w:rPr>
      <w:t xml:space="preserve">Budget for Season 2 of Inside The Mind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0" w:lineRule="auto" w:before="0"/>
      <w:ind w:firstLine="0" w:left="0" w:right="0"/>
      <w:jc w:val="left"/>
    </w:pPr>
    <w:rPr>
      <w:rFonts w:eastAsia="Arial" w:ascii="Arial" w:hAnsi="Arial" w:cs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36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28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color w:val="666666"/>
      <w:sz w:val="24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i w:val="1"/>
      <w:color w:val="666666"/>
      <w:sz w:val="22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color w:val="666666"/>
      <w:sz w:val="20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i w:val="1"/>
      <w:color w:val="666666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Type="http://schemas.openxmlformats.org/officeDocument/2006/relationships/hyperlink" Id="rId19" TargetMode="External" Target="http://www.bhphotovideo.com/c/product/649983-REG/Sennheiser_EW112PG3_G_EW112_p_G3_Camera_Mount.html"/><Relationship Type="http://schemas.openxmlformats.org/officeDocument/2006/relationships/hyperlink" Id="rId18" TargetMode="External" Target="http://www.bhphotovideo.com/c/product/563846-REG/Rode_NTG_3_NTG_3_Deluxe_Shotgun_Microphone.html"/><Relationship Type="http://schemas.openxmlformats.org/officeDocument/2006/relationships/hyperlink" Id="rId17" TargetMode="External" Target="http://www.bhphotovideo.com/c/product/885341-REG/Samsung_1TB_2x_512GB_830.html"/><Relationship Type="http://schemas.openxmlformats.org/officeDocument/2006/relationships/hyperlink" Id="rId16" TargetMode="External" Target="http://www.bhphotovideo.com/c/product/855879-REG/Blackmagic_Design_BMD_CINECAM26KEF_Cinema_Camera.html"/><Relationship Type="http://schemas.openxmlformats.org/officeDocument/2006/relationships/hyperlink" Id="rId15" TargetMode="External" Target="http://www.kesslercrane.com/product-p/100132.htm"/><Relationship Type="http://schemas.openxmlformats.org/officeDocument/2006/relationships/hyperlink" Id="rId14" TargetMode="External" Target="http://www.kesslercrane.com/product-p/100041.htm"/><Relationship Type="http://schemas.openxmlformats.org/officeDocument/2006/relationships/image" Id="rId21" Target="media/image00.png"/><Relationship Type="http://schemas.openxmlformats.org/officeDocument/2006/relationships/fontTable" Id="rId2" Target="fontTable.xml"/><Relationship Type="http://schemas.openxmlformats.org/officeDocument/2006/relationships/hyperlink" Id="rId12" TargetMode="External" Target="http://www.kesslercrane.com/product-p/phil_bloom_std_blk.htm"/><Relationship Type="http://schemas.openxmlformats.org/officeDocument/2006/relationships/hyperlink" Id="rId22" TargetMode="External" Target="http://youtube.com/filmriot"/><Relationship Type="http://schemas.openxmlformats.org/officeDocument/2006/relationships/settings" Id="rId1" Target="settings.xml"/><Relationship Type="http://schemas.openxmlformats.org/officeDocument/2006/relationships/hyperlink" Id="rId13" TargetMode="External" Target="http://www.kesslercrane.com/product-p/pocket_jib.htm"/><Relationship Type="http://schemas.openxmlformats.org/officeDocument/2006/relationships/header" Id="rId23" Target="header1.xml"/><Relationship Type="http://schemas.openxmlformats.org/officeDocument/2006/relationships/styles" Id="rId4" Target="styles.xml"/><Relationship Type="http://schemas.openxmlformats.org/officeDocument/2006/relationships/hyperlink" Id="rId10" TargetMode="External" Target="http://www.kesslercrane.com/product-p/1001493.htm"/><Relationship Type="http://schemas.openxmlformats.org/officeDocument/2006/relationships/numbering" Id="rId3" Target="numbering.xml"/><Relationship Type="http://schemas.openxmlformats.org/officeDocument/2006/relationships/hyperlink" Id="rId11" TargetMode="External" Target="http://www.kesslercrane.com/product-p/100154-5.htm"/><Relationship Type="http://schemas.openxmlformats.org/officeDocument/2006/relationships/hyperlink" Id="rId20" TargetMode="External" Target="http://nh.craigslist.org/off/3375913635.html"/><Relationship Type="http://schemas.openxmlformats.org/officeDocument/2006/relationships/hyperlink" Id="rId9" TargetMode="External" Target="http://www.manfrotto.us/midi-twin-systems-gs"/><Relationship Type="http://schemas.openxmlformats.org/officeDocument/2006/relationships/hyperlink" Id="rId6" TargetMode="External" Target="http://www.filmandvideolighting.com/lopropakp2.html?gclid=CNCOpZrExLMCFUHNOgodGTIAKg"/><Relationship Type="http://schemas.openxmlformats.org/officeDocument/2006/relationships/image" Id="rId5" Target="media/image01.png"/><Relationship Type="http://schemas.openxmlformats.org/officeDocument/2006/relationships/hyperlink" Id="rId8" TargetMode="External" Target="http://www.tubetape.net/servlet/the-747/FloLight-550W-cln--3-dsh-Point-Cool/Detail?gclid=CODSgJvjw7MCFYqZ4AodWTQAmg"/><Relationship Type="http://schemas.openxmlformats.org/officeDocument/2006/relationships/hyperlink" Id="rId7" TargetMode="External" Target="http://www.bhphotovideo.com/c/product/876211-REG/Bescor_LED500S_LED_500_Studio_Light_and.ht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List for Inside The Mind Season 2.docx</dc:title>
</cp:coreProperties>
</file>