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Perpetua" w:hAnsi="Perpetua" w:cs="Perpetua" w:eastAsia="Perpetua"/>
          <w:color w:val="auto"/>
          <w:spacing w:val="0"/>
          <w:position w:val="0"/>
          <w:sz w:val="24"/>
          <w:shd w:fill="auto" w:val="clear"/>
        </w:rPr>
      </w:pPr>
      <w:r>
        <w:object w:dxaOrig="4605" w:dyaOrig="2264">
          <v:rect xmlns:o="urn:schemas-microsoft-com:office:office" xmlns:v="urn:schemas-microsoft-com:vml" id="rectole0000000000" style="width:230.250000pt;height:113.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center"/>
        <w:rPr>
          <w:rFonts w:ascii="Perpetua" w:hAnsi="Perpetua" w:cs="Perpetua" w:eastAsia="Perpetua"/>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FOR IMMEDIATE RELEASE</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THE COUNCIL FIRES OF THE OCETI SAKOWIN (GREAT SIOUX NATION) UNITE IN UNPRECEDENTED MANNER TO RECLAIM SACRED SITE, PE’SLA</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Rosebud Sioux Tribe has announced it has entered into preliminary negotiations to re-acquire Pe Sla (Reynolds Prarie). The Tribes are asking for your patience in this matter as they continue to navigate inter-governmental procedures toward successful negotiations to purchase Pe Sla.</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Lastrealindians, Inc. is honored to contribute funds donated by the world to a collective effort to protect Pe Sla.</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Oceti Sakowin is extremely grateful for the tremendous support shown for Pe’Sla; The Bands came together to show the world it is paramount for human beings to respect our living mother earth and sacred sites. This is the first time in recent history the Oceti Sakowin has mobilized in concert to buy back land in the sacred Black Hills, Wamaka Ognaka y Cante (The Heart of Everything That Is). The Black Hills still belong to the Great Sioux Nation pursuant to its treaty with the United States -the 1868 Treaty of Fort Laramie.</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Oceti Sakowin will continue to pursue financial assistance in conjunction with Lastrealindians, Inc. in anticipation of the closing date of the land purchase.</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Lila wopila icicapelo makasitomni (big thanks to all of you); The Oceti Sakowin could not have accomplished this historic feat without everyone around the world supporting their efforts.</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Pilaunyanpi Wooholaya Yuha (We Thank You With Respect),</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Rosebud Sioux Tribe, Oglala Lakota Nation, Cheyenne River Sioux Tribe, Standing Rock Sioux Tribe, Yankton Sioux Tribe,</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Shakopee Mdewakantonwan Dakota Community.</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Oceti Sakowin (Seven Council Fires), speakers of Lakota, Dakota and Nakota dialects:</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Sissetonwan</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Wahpetonwan</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Wakpekute</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MdeWakantonwan</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Ihanktonwan</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Ihanktowanna</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Tetonwan</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Contact Info:</w:t>
      </w:r>
    </w:p>
    <w:p>
      <w:pPr>
        <w:spacing w:before="100" w:after="10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Lastrealindians, Inc.</w:t>
      </w:r>
    </w:p>
    <w:p>
      <w:pPr>
        <w:spacing w:before="100" w:after="10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4265 45th Street S Ste 111-39</w:t>
      </w:r>
    </w:p>
    <w:p>
      <w:pPr>
        <w:spacing w:before="100" w:after="10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Fargo, North Dakota 58104</w:t>
      </w:r>
    </w:p>
    <w:p>
      <w:pPr>
        <w:spacing w:before="100" w:after="10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Phone: (605) 268-0434</w:t>
      </w:r>
    </w:p>
    <w:p>
      <w:pPr>
        <w:spacing w:before="100" w:after="10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Email: chaseironeyes@gmail.com</w:t>
      </w:r>
    </w:p>
    <w:p>
      <w:pPr>
        <w:spacing w:before="100" w:after="10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2"/>
          <w:shd w:fill="auto" w:val="clear"/>
        </w:rPr>
        <w:t xml:space="preserve">Email: cankudutawin@gmail.com</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center"/>
        <w:rPr>
          <w:rFonts w:ascii="Perpetua" w:hAnsi="Perpetua" w:cs="Perpetua" w:eastAsia="Perpetu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0" Type="http://schemas.openxmlformats.org/officeDocument/2006/relationships/oleObject"/><Relationship Target="media/image0.wmf" Id="docRId1" Type="http://schemas.openxmlformats.org/officeDocument/2006/relationships/image"/><Relationship Target="numbering.xml" Id="docRId2" Type="http://schemas.openxmlformats.org/officeDocument/2006/relationships/numbering"/><Relationship Target="styles.xml" Id="docRId3" Type="http://schemas.openxmlformats.org/officeDocument/2006/relationships/styles"/></Relationships>
</file>